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310" w:type="dxa"/>
        <w:tblBorders>
          <w:insideH w:val="none" w:sz="0" w:space="0" w:color="auto"/>
          <w:insideV w:val="none" w:sz="0" w:space="0" w:color="auto"/>
        </w:tblBorders>
        <w:tblLayout w:type="fixed"/>
        <w:tblLook w:val="04A0" w:firstRow="1" w:lastRow="0" w:firstColumn="1" w:lastColumn="0" w:noHBand="0" w:noVBand="1"/>
      </w:tblPr>
      <w:tblGrid>
        <w:gridCol w:w="2237"/>
        <w:gridCol w:w="2732"/>
        <w:gridCol w:w="1708"/>
        <w:gridCol w:w="2633"/>
      </w:tblGrid>
      <w:tr w:rsidR="00701AAF" w14:paraId="2395A3DC" w14:textId="77777777" w:rsidTr="00701AAF">
        <w:trPr>
          <w:trHeight w:val="2655"/>
        </w:trPr>
        <w:tc>
          <w:tcPr>
            <w:tcW w:w="2237" w:type="dxa"/>
            <w:tcBorders>
              <w:top w:val="single" w:sz="18" w:space="0" w:color="C00000"/>
              <w:left w:val="single" w:sz="18" w:space="0" w:color="C00000"/>
              <w:bottom w:val="single" w:sz="18" w:space="0" w:color="C00000"/>
            </w:tcBorders>
          </w:tcPr>
          <w:p w14:paraId="4E161312" w14:textId="77777777" w:rsidR="00701AAF" w:rsidRDefault="00701AAF" w:rsidP="0035572D">
            <w:r>
              <w:rPr>
                <w:noProof/>
              </w:rPr>
              <w:drawing>
                <wp:inline distT="0" distB="0" distL="0" distR="0" wp14:anchorId="3EBBFF2C" wp14:editId="4D390311">
                  <wp:extent cx="1413164" cy="499706"/>
                  <wp:effectExtent l="0" t="0" r="0" b="0"/>
                  <wp:docPr id="1" name="Picture 1" descr="http://www.advancingjustice.org/sites/default/files/affiliates-icons/la-logo.fw_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vancingjustice.org/sites/default/files/affiliates-icons/la-logo.fw__0.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15502" cy="500533"/>
                          </a:xfrm>
                          <a:prstGeom prst="rect">
                            <a:avLst/>
                          </a:prstGeom>
                          <a:noFill/>
                          <a:ln>
                            <a:noFill/>
                          </a:ln>
                        </pic:spPr>
                      </pic:pic>
                    </a:graphicData>
                  </a:graphic>
                </wp:inline>
              </w:drawing>
            </w:r>
          </w:p>
          <w:p w14:paraId="3FE67062" w14:textId="77777777" w:rsidR="00701AAF" w:rsidRDefault="00701AAF" w:rsidP="0035572D">
            <w:pPr>
              <w:jc w:val="center"/>
              <w:rPr>
                <w:sz w:val="20"/>
                <w:szCs w:val="20"/>
              </w:rPr>
            </w:pPr>
          </w:p>
          <w:p w14:paraId="06722716" w14:textId="77777777" w:rsidR="00701AAF" w:rsidRPr="00A727CC" w:rsidRDefault="00701AAF" w:rsidP="0035572D">
            <w:pPr>
              <w:jc w:val="center"/>
              <w:rPr>
                <w:sz w:val="20"/>
                <w:szCs w:val="20"/>
              </w:rPr>
            </w:pPr>
          </w:p>
          <w:p w14:paraId="64523568" w14:textId="77777777" w:rsidR="00701AAF" w:rsidRDefault="00701AAF" w:rsidP="0035572D">
            <w:r>
              <w:rPr>
                <w:noProof/>
              </w:rPr>
              <w:drawing>
                <wp:inline distT="0" distB="0" distL="0" distR="0" wp14:anchorId="1F3772FA" wp14:editId="2D42A575">
                  <wp:extent cx="1371600" cy="520228"/>
                  <wp:effectExtent l="0" t="0" r="0" b="0"/>
                  <wp:docPr id="2" name="Picture 2"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1216" cy="523875"/>
                          </a:xfrm>
                          <a:prstGeom prst="rect">
                            <a:avLst/>
                          </a:prstGeom>
                          <a:noFill/>
                          <a:ln>
                            <a:noFill/>
                          </a:ln>
                        </pic:spPr>
                      </pic:pic>
                    </a:graphicData>
                  </a:graphic>
                </wp:inline>
              </w:drawing>
            </w:r>
          </w:p>
        </w:tc>
        <w:tc>
          <w:tcPr>
            <w:tcW w:w="2732" w:type="dxa"/>
            <w:tcBorders>
              <w:top w:val="single" w:sz="18" w:space="0" w:color="C00000"/>
              <w:bottom w:val="single" w:sz="18" w:space="0" w:color="C00000"/>
            </w:tcBorders>
          </w:tcPr>
          <w:p w14:paraId="40D7BC62" w14:textId="77777777" w:rsidR="00701AAF" w:rsidRPr="00FA24D5" w:rsidRDefault="00701AAF" w:rsidP="0035572D">
            <w:pPr>
              <w:jc w:val="center"/>
            </w:pPr>
            <w:r>
              <w:rPr>
                <w:noProof/>
              </w:rPr>
              <w:drawing>
                <wp:inline distT="0" distB="0" distL="0" distR="0" wp14:anchorId="70D23BAA" wp14:editId="4C47D182">
                  <wp:extent cx="1558637" cy="272721"/>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094" cy="273326"/>
                          </a:xfrm>
                          <a:prstGeom prst="rect">
                            <a:avLst/>
                          </a:prstGeom>
                          <a:noFill/>
                          <a:ln>
                            <a:noFill/>
                          </a:ln>
                        </pic:spPr>
                      </pic:pic>
                    </a:graphicData>
                  </a:graphic>
                </wp:inline>
              </w:drawing>
            </w:r>
          </w:p>
          <w:p w14:paraId="2F62E121" w14:textId="77777777" w:rsidR="00701AAF" w:rsidRPr="00701AAF" w:rsidRDefault="00701AAF" w:rsidP="0035572D">
            <w:pPr>
              <w:shd w:val="clear" w:color="auto" w:fill="FFFFFF"/>
              <w:jc w:val="center"/>
              <w:textAlignment w:val="baseline"/>
              <w:outlineLvl w:val="1"/>
              <w:rPr>
                <w:rFonts w:ascii="Helvetica" w:eastAsia="Times New Roman" w:hAnsi="Helvetica" w:cs="Times New Roman"/>
                <w:color w:val="666666"/>
                <w:sz w:val="14"/>
                <w:szCs w:val="14"/>
              </w:rPr>
            </w:pPr>
            <w:r w:rsidRPr="00701AAF">
              <w:rPr>
                <w:rFonts w:ascii="Helvetica" w:eastAsia="Times New Roman" w:hAnsi="Helvetica" w:cs="Times New Roman"/>
                <w:color w:val="666666"/>
                <w:sz w:val="14"/>
                <w:szCs w:val="14"/>
              </w:rPr>
              <w:t>UC Asian American &amp; Pacific</w:t>
            </w:r>
          </w:p>
          <w:p w14:paraId="7F638D8B" w14:textId="77777777" w:rsidR="00701AAF" w:rsidRPr="00701AAF" w:rsidRDefault="00701AAF" w:rsidP="0035572D">
            <w:pPr>
              <w:shd w:val="clear" w:color="auto" w:fill="FFFFFF"/>
              <w:jc w:val="center"/>
              <w:textAlignment w:val="baseline"/>
              <w:outlineLvl w:val="1"/>
              <w:rPr>
                <w:rFonts w:ascii="Helvetica" w:eastAsia="Times New Roman" w:hAnsi="Helvetica" w:cs="Times New Roman"/>
                <w:color w:val="666666"/>
                <w:sz w:val="14"/>
                <w:szCs w:val="14"/>
              </w:rPr>
            </w:pPr>
            <w:r w:rsidRPr="00701AAF">
              <w:rPr>
                <w:rFonts w:ascii="Helvetica" w:eastAsia="Times New Roman" w:hAnsi="Helvetica" w:cs="Times New Roman"/>
                <w:color w:val="666666"/>
                <w:sz w:val="14"/>
                <w:szCs w:val="14"/>
              </w:rPr>
              <w:t xml:space="preserve">Islander Policy </w:t>
            </w:r>
            <w:proofErr w:type="spellStart"/>
            <w:r w:rsidRPr="00701AAF">
              <w:rPr>
                <w:rFonts w:ascii="Helvetica" w:eastAsia="Times New Roman" w:hAnsi="Helvetica" w:cs="Times New Roman"/>
                <w:color w:val="666666"/>
                <w:sz w:val="14"/>
                <w:szCs w:val="14"/>
              </w:rPr>
              <w:t>Multicampus</w:t>
            </w:r>
            <w:proofErr w:type="spellEnd"/>
          </w:p>
          <w:p w14:paraId="347F8E84" w14:textId="48E223FD" w:rsidR="00701AAF" w:rsidRPr="00701AAF" w:rsidRDefault="00701AAF" w:rsidP="00701AAF">
            <w:pPr>
              <w:shd w:val="clear" w:color="auto" w:fill="FFFFFF"/>
              <w:jc w:val="center"/>
              <w:textAlignment w:val="baseline"/>
              <w:outlineLvl w:val="1"/>
              <w:rPr>
                <w:rFonts w:ascii="Helvetica" w:eastAsia="Times New Roman" w:hAnsi="Helvetica" w:cs="Times New Roman"/>
                <w:color w:val="666666"/>
                <w:sz w:val="14"/>
                <w:szCs w:val="14"/>
              </w:rPr>
            </w:pPr>
            <w:r w:rsidRPr="00701AAF">
              <w:rPr>
                <w:rFonts w:ascii="Helvetica" w:eastAsia="Times New Roman" w:hAnsi="Helvetica" w:cs="Times New Roman"/>
                <w:color w:val="666666"/>
                <w:sz w:val="14"/>
                <w:szCs w:val="14"/>
              </w:rPr>
              <w:t>Research Program</w:t>
            </w:r>
          </w:p>
          <w:p w14:paraId="1C8B2463" w14:textId="77777777" w:rsidR="00701AAF" w:rsidRDefault="00701AAF" w:rsidP="0035572D">
            <w:pPr>
              <w:jc w:val="center"/>
              <w:rPr>
                <w:b/>
                <w:noProof/>
                <w:sz w:val="28"/>
              </w:rPr>
            </w:pPr>
            <w:r>
              <w:rPr>
                <w:b/>
                <w:noProof/>
                <w:sz w:val="28"/>
              </w:rPr>
              <w:drawing>
                <wp:inline distT="0" distB="0" distL="0" distR="0" wp14:anchorId="7A3D3F84" wp14:editId="1ABA9C3F">
                  <wp:extent cx="1553019" cy="4849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7200" cy="486215"/>
                          </a:xfrm>
                          <a:prstGeom prst="rect">
                            <a:avLst/>
                          </a:prstGeom>
                          <a:noFill/>
                          <a:ln>
                            <a:noFill/>
                          </a:ln>
                        </pic:spPr>
                      </pic:pic>
                    </a:graphicData>
                  </a:graphic>
                </wp:inline>
              </w:drawing>
            </w:r>
          </w:p>
        </w:tc>
        <w:tc>
          <w:tcPr>
            <w:tcW w:w="1708" w:type="dxa"/>
            <w:tcBorders>
              <w:top w:val="single" w:sz="18" w:space="0" w:color="C00000"/>
              <w:bottom w:val="single" w:sz="18" w:space="0" w:color="C00000"/>
            </w:tcBorders>
          </w:tcPr>
          <w:p w14:paraId="20FFB9EA" w14:textId="77777777" w:rsidR="00701AAF" w:rsidRDefault="00701AAF" w:rsidP="0035572D">
            <w:pPr>
              <w:rPr>
                <w:b/>
                <w:noProof/>
                <w:sz w:val="8"/>
                <w:szCs w:val="8"/>
              </w:rPr>
            </w:pPr>
          </w:p>
          <w:p w14:paraId="0D8C1895" w14:textId="77777777" w:rsidR="00701AAF" w:rsidRDefault="00701AAF" w:rsidP="0035572D">
            <w:pPr>
              <w:jc w:val="center"/>
              <w:rPr>
                <w:b/>
                <w:noProof/>
                <w:sz w:val="28"/>
              </w:rPr>
            </w:pPr>
            <w:r>
              <w:rPr>
                <w:noProof/>
              </w:rPr>
              <w:drawing>
                <wp:inline distT="0" distB="0" distL="0" distR="0" wp14:anchorId="0408E8F1" wp14:editId="64DD2709">
                  <wp:extent cx="741192" cy="1261534"/>
                  <wp:effectExtent l="0" t="0" r="1905" b="0"/>
                  <wp:docPr id="16" name="Picture 16" descr="chinese-for-affirmative-action-c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nese-for-affirmative-action-cho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3424" cy="1265333"/>
                          </a:xfrm>
                          <a:prstGeom prst="rect">
                            <a:avLst/>
                          </a:prstGeom>
                          <a:noFill/>
                          <a:ln>
                            <a:noFill/>
                          </a:ln>
                        </pic:spPr>
                      </pic:pic>
                    </a:graphicData>
                  </a:graphic>
                </wp:inline>
              </w:drawing>
            </w:r>
          </w:p>
        </w:tc>
        <w:tc>
          <w:tcPr>
            <w:tcW w:w="2633" w:type="dxa"/>
            <w:tcBorders>
              <w:top w:val="single" w:sz="18" w:space="0" w:color="C00000"/>
              <w:bottom w:val="single" w:sz="18" w:space="0" w:color="C00000"/>
              <w:right w:val="single" w:sz="18" w:space="0" w:color="C00000"/>
            </w:tcBorders>
          </w:tcPr>
          <w:p w14:paraId="5297C60C" w14:textId="77777777" w:rsidR="00701AAF" w:rsidRDefault="00701AAF" w:rsidP="0035572D">
            <w:pPr>
              <w:jc w:val="center"/>
            </w:pPr>
            <w:r>
              <w:rPr>
                <w:b/>
                <w:noProof/>
                <w:sz w:val="28"/>
              </w:rPr>
              <w:drawing>
                <wp:inline distT="0" distB="0" distL="0" distR="0" wp14:anchorId="132F7B09" wp14:editId="1F8FB7ED">
                  <wp:extent cx="1646713" cy="554182"/>
                  <wp:effectExtent l="0" t="0" r="0" b="0"/>
                  <wp:docPr id="17" name="Picture 1" descr="::graphics/art/pix:finallogos078-31_LogosForClient:Logos-300 ppi RBG JPEG for MS Word:Logo-300ppiRGB.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s/art/pix:finallogos078-31_LogosForClient:Logos-300 ppi RBG JPEG for MS Word:Logo-300ppiRGB.large.jpg"/>
                          <pic:cNvPicPr>
                            <a:picLocks noChangeAspect="1" noChangeArrowheads="1"/>
                          </pic:cNvPicPr>
                        </pic:nvPicPr>
                        <pic:blipFill>
                          <a:blip r:embed="rId11"/>
                          <a:srcRect/>
                          <a:stretch>
                            <a:fillRect/>
                          </a:stretch>
                        </pic:blipFill>
                        <pic:spPr bwMode="auto">
                          <a:xfrm>
                            <a:off x="0" y="0"/>
                            <a:ext cx="1649815" cy="555226"/>
                          </a:xfrm>
                          <a:prstGeom prst="rect">
                            <a:avLst/>
                          </a:prstGeom>
                          <a:noFill/>
                          <a:ln w="9525">
                            <a:noFill/>
                            <a:miter lim="800000"/>
                            <a:headEnd/>
                            <a:tailEnd/>
                          </a:ln>
                        </pic:spPr>
                      </pic:pic>
                    </a:graphicData>
                  </a:graphic>
                </wp:inline>
              </w:drawing>
            </w:r>
            <w:r>
              <w:rPr>
                <w:rFonts w:ascii="Californian FB" w:hAnsi="Californian FB"/>
                <w:noProof/>
              </w:rPr>
              <w:drawing>
                <wp:inline distT="0" distB="0" distL="0" distR="0" wp14:anchorId="678FC6A7" wp14:editId="11C4E06B">
                  <wp:extent cx="1083733" cy="881485"/>
                  <wp:effectExtent l="0" t="0" r="2540" b="0"/>
                  <wp:docPr id="5" name="Picture 5" descr="C:\Users\wkidder\AppData\Local\Microsoft\Windows\Temporary Internet Files\Content.Outlook\6UTOL5JZ\APAHE-ko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kidder\AppData\Local\Microsoft\Windows\Temporary Internet Files\Content.Outlook\6UTOL5JZ\APAHE-koi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1020" cy="887412"/>
                          </a:xfrm>
                          <a:prstGeom prst="rect">
                            <a:avLst/>
                          </a:prstGeom>
                          <a:noFill/>
                          <a:ln>
                            <a:noFill/>
                          </a:ln>
                        </pic:spPr>
                      </pic:pic>
                    </a:graphicData>
                  </a:graphic>
                </wp:inline>
              </w:drawing>
            </w:r>
          </w:p>
        </w:tc>
      </w:tr>
    </w:tbl>
    <w:p w14:paraId="2FD86FA1" w14:textId="77777777" w:rsidR="007E2FDB" w:rsidRPr="00174921" w:rsidRDefault="00FB0F36" w:rsidP="003614FE">
      <w:pPr>
        <w:jc w:val="center"/>
        <w:rPr>
          <w:sz w:val="28"/>
          <w:szCs w:val="28"/>
        </w:rPr>
      </w:pPr>
      <w:r>
        <w:rPr>
          <w:rFonts w:hint="eastAsia"/>
          <w:sz w:val="28"/>
          <w:szCs w:val="28"/>
        </w:rPr>
        <w:t>加州的亚裔美国人和太平洋岛民</w:t>
      </w:r>
      <w:r w:rsidR="007E2FDB" w:rsidRPr="00174921">
        <w:rPr>
          <w:rFonts w:hint="eastAsia"/>
          <w:sz w:val="28"/>
          <w:szCs w:val="28"/>
        </w:rPr>
        <w:t>：高等教育多样性如何对我们的社区有益</w:t>
      </w:r>
    </w:p>
    <w:p w14:paraId="1D3F302F" w14:textId="77777777" w:rsidR="007E2FDB" w:rsidRDefault="00FB0F36" w:rsidP="00E24CC9">
      <w:pPr>
        <w:ind w:firstLine="480"/>
      </w:pPr>
      <w:r>
        <w:rPr>
          <w:rFonts w:hint="eastAsia"/>
        </w:rPr>
        <w:t>作为一个亚裔美国人和太平洋岛民</w:t>
      </w:r>
      <w:r w:rsidR="007E2FDB">
        <w:rPr>
          <w:rFonts w:hint="eastAsia"/>
        </w:rPr>
        <w:t>公民权益和</w:t>
      </w:r>
      <w:r w:rsidR="00E24CC9">
        <w:rPr>
          <w:rFonts w:hint="eastAsia"/>
        </w:rPr>
        <w:t>高等教育组织的结合体，我们发表这种声明和政策报告来消除最近在加州已经浮现的公众对高等教育多样化的</w:t>
      </w:r>
      <w:r w:rsidR="007E2FDB">
        <w:rPr>
          <w:rFonts w:hint="eastAsia"/>
        </w:rPr>
        <w:t>误解</w:t>
      </w:r>
      <w:r w:rsidR="00E24CC9">
        <w:rPr>
          <w:rFonts w:hint="eastAsia"/>
        </w:rPr>
        <w:t>。</w:t>
      </w:r>
    </w:p>
    <w:p w14:paraId="1C28337F" w14:textId="77777777" w:rsidR="00E24CC9" w:rsidRDefault="00E24CC9" w:rsidP="00E24CC9">
      <w:pPr>
        <w:ind w:firstLine="480"/>
      </w:pPr>
      <w:r w:rsidRPr="00E24CC9">
        <w:rPr>
          <w:rFonts w:hint="eastAsia"/>
        </w:rPr>
        <w:t>•</w:t>
      </w:r>
      <w:r>
        <w:rPr>
          <w:rFonts w:hint="eastAsia"/>
        </w:rPr>
        <w:t>加州的选举结果</w:t>
      </w:r>
      <w:r w:rsidR="00FB0F36">
        <w:rPr>
          <w:rFonts w:hint="eastAsia"/>
        </w:rPr>
        <w:t>和最近的全国意见调查显示出绝大多数的亚</w:t>
      </w:r>
      <w:r w:rsidR="003614FE">
        <w:rPr>
          <w:rFonts w:hint="eastAsia"/>
        </w:rPr>
        <w:t>裔美国人</w:t>
      </w:r>
      <w:r w:rsidR="00FB0F36">
        <w:rPr>
          <w:rFonts w:hint="eastAsia"/>
        </w:rPr>
        <w:t>和太平洋岛民</w:t>
      </w:r>
      <w:r w:rsidR="003614FE">
        <w:rPr>
          <w:rFonts w:hint="eastAsia"/>
        </w:rPr>
        <w:t>支持平权法案（</w:t>
      </w:r>
      <w:r w:rsidR="003614FE">
        <w:rPr>
          <w:rFonts w:hint="eastAsia"/>
        </w:rPr>
        <w:t>affirmative action</w:t>
      </w:r>
      <w:r w:rsidR="003614FE">
        <w:rPr>
          <w:rFonts w:hint="eastAsia"/>
        </w:rPr>
        <w:t>）。</w:t>
      </w:r>
    </w:p>
    <w:p w14:paraId="4D4C605C" w14:textId="77777777" w:rsidR="003614FE" w:rsidRDefault="003614FE" w:rsidP="00E24CC9">
      <w:pPr>
        <w:ind w:firstLine="480"/>
      </w:pPr>
      <w:r w:rsidRPr="00E24CC9">
        <w:rPr>
          <w:rFonts w:hint="eastAsia"/>
        </w:rPr>
        <w:t>•</w:t>
      </w:r>
      <w:r w:rsidR="005C4424">
        <w:rPr>
          <w:rFonts w:hint="eastAsia"/>
        </w:rPr>
        <w:t>过去，平权法案在</w:t>
      </w:r>
      <w:r w:rsidR="00CC16C4">
        <w:rPr>
          <w:rFonts w:hint="eastAsia"/>
        </w:rPr>
        <w:t>给</w:t>
      </w:r>
      <w:r w:rsidR="00FB0F36">
        <w:rPr>
          <w:rFonts w:hint="eastAsia"/>
        </w:rPr>
        <w:t>亚</w:t>
      </w:r>
      <w:r w:rsidR="005C4424">
        <w:rPr>
          <w:rFonts w:hint="eastAsia"/>
        </w:rPr>
        <w:t>裔美国人</w:t>
      </w:r>
      <w:r w:rsidR="00FB0F36">
        <w:rPr>
          <w:rFonts w:hint="eastAsia"/>
        </w:rPr>
        <w:t>和太平洋岛民</w:t>
      </w:r>
      <w:r w:rsidR="005C4424">
        <w:rPr>
          <w:rFonts w:hint="eastAsia"/>
        </w:rPr>
        <w:t>带来工作机会</w:t>
      </w:r>
      <w:r w:rsidR="00CC16C4">
        <w:rPr>
          <w:rFonts w:hint="eastAsia"/>
        </w:rPr>
        <w:t>方面</w:t>
      </w:r>
      <w:r w:rsidR="00623328">
        <w:rPr>
          <w:rFonts w:hint="eastAsia"/>
        </w:rPr>
        <w:t>已经</w:t>
      </w:r>
      <w:r w:rsidR="005C4424">
        <w:rPr>
          <w:rFonts w:hint="eastAsia"/>
        </w:rPr>
        <w:t>发挥</w:t>
      </w:r>
      <w:r w:rsidR="00623328">
        <w:rPr>
          <w:rFonts w:hint="eastAsia"/>
        </w:rPr>
        <w:t>了</w:t>
      </w:r>
      <w:r w:rsidR="005C4424">
        <w:rPr>
          <w:rFonts w:hint="eastAsia"/>
        </w:rPr>
        <w:t>重要的作用，而且</w:t>
      </w:r>
      <w:r w:rsidR="00FB0F36">
        <w:rPr>
          <w:rFonts w:hint="eastAsia"/>
        </w:rPr>
        <w:t>在高等教育中也给他们</w:t>
      </w:r>
      <w:r w:rsidR="00AC5DBB">
        <w:rPr>
          <w:rFonts w:hint="eastAsia"/>
        </w:rPr>
        <w:t>带来了重要的利益。</w:t>
      </w:r>
    </w:p>
    <w:tbl>
      <w:tblPr>
        <w:tblStyle w:val="TableGrid"/>
        <w:tblW w:w="8708" w:type="dxa"/>
        <w:tblInd w:w="-144" w:type="dxa"/>
        <w:tblLook w:val="04A0" w:firstRow="1" w:lastRow="0" w:firstColumn="1" w:lastColumn="0" w:noHBand="0" w:noVBand="1"/>
      </w:tblPr>
      <w:tblGrid>
        <w:gridCol w:w="8708"/>
      </w:tblGrid>
      <w:tr w:rsidR="005C4424" w:rsidRPr="00B31FDD" w14:paraId="0BF1D95E" w14:textId="77777777" w:rsidTr="00623328">
        <w:trPr>
          <w:trHeight w:val="1310"/>
        </w:trPr>
        <w:tc>
          <w:tcPr>
            <w:tcW w:w="8708" w:type="dxa"/>
            <w:shd w:val="clear" w:color="auto" w:fill="FFFFCC"/>
          </w:tcPr>
          <w:p w14:paraId="06197F5E" w14:textId="77777777" w:rsidR="005C4424" w:rsidRPr="005C4424" w:rsidRDefault="005C4424" w:rsidP="005C4424">
            <w:pPr>
              <w:ind w:right="-90"/>
              <w:rPr>
                <w:rFonts w:ascii="Kalinga" w:hAnsi="Kalinga" w:cs="Kalinga"/>
                <w:i/>
                <w:color w:val="000000"/>
                <w:sz w:val="24"/>
                <w:szCs w:val="24"/>
                <w:shd w:val="clear" w:color="auto" w:fill="FFFFFF"/>
              </w:rPr>
            </w:pPr>
            <w:r w:rsidRPr="005C4424">
              <w:rPr>
                <w:rFonts w:ascii="Kalinga" w:hAnsi="Kalinga" w:cs="Kalinga"/>
                <w:i/>
                <w:sz w:val="24"/>
                <w:szCs w:val="24"/>
              </w:rPr>
              <w:t>“</w:t>
            </w:r>
            <w:r w:rsidRPr="005C4424">
              <w:rPr>
                <w:rFonts w:ascii="Kalinga" w:hAnsi="Kalinga" w:cs="Kalinga" w:hint="eastAsia"/>
                <w:i/>
                <w:sz w:val="24"/>
                <w:szCs w:val="24"/>
                <w:lang w:eastAsia="zh-CN"/>
              </w:rPr>
              <w:t>假如</w:t>
            </w:r>
            <w:r w:rsidRPr="005C4424">
              <w:rPr>
                <w:rFonts w:ascii="Damascus Medium" w:hAnsi="Damascus Medium" w:cs="Damascus Medium" w:hint="eastAsia"/>
                <w:i/>
                <w:sz w:val="24"/>
                <w:szCs w:val="24"/>
                <w:lang w:eastAsia="zh-CN"/>
              </w:rPr>
              <w:t>我们国家的学院和大学现在倒退，拒绝为</w:t>
            </w:r>
            <w:r w:rsidR="00174921">
              <w:rPr>
                <w:rFonts w:ascii="Damascus Medium" w:hAnsi="Damascus Medium" w:cs="Damascus Medium" w:hint="eastAsia"/>
                <w:i/>
                <w:sz w:val="24"/>
                <w:szCs w:val="24"/>
                <w:lang w:eastAsia="zh-CN"/>
              </w:rPr>
              <w:t>有才能的弱势青年提供机会并</w:t>
            </w:r>
            <w:r w:rsidR="00174921">
              <w:rPr>
                <w:rFonts w:ascii="Times New Roman" w:hAnsi="Times New Roman" w:cs="Times New Roman" w:hint="eastAsia"/>
                <w:i/>
                <w:sz w:val="24"/>
                <w:szCs w:val="24"/>
                <w:lang w:eastAsia="zh-CN"/>
              </w:rPr>
              <w:t>损害</w:t>
            </w:r>
            <w:r w:rsidRPr="005C4424">
              <w:rPr>
                <w:rFonts w:ascii="Damascus Medium" w:hAnsi="Damascus Medium" w:cs="Damascus Medium" w:hint="eastAsia"/>
                <w:i/>
                <w:sz w:val="24"/>
                <w:szCs w:val="24"/>
                <w:lang w:eastAsia="zh-CN"/>
              </w:rPr>
              <w:t>帮助我们培养未来领袖的多样性，这将会是一种灾难。</w:t>
            </w:r>
            <w:r w:rsidRPr="005C4424">
              <w:rPr>
                <w:rFonts w:ascii="Kalinga" w:hAnsi="Kalinga" w:cs="Kalinga"/>
                <w:i/>
                <w:sz w:val="24"/>
                <w:szCs w:val="24"/>
              </w:rPr>
              <w:t>.”</w:t>
            </w:r>
          </w:p>
          <w:p w14:paraId="1B37F9BD" w14:textId="77777777" w:rsidR="005C4424" w:rsidRPr="005C4424" w:rsidRDefault="005C4424" w:rsidP="005C4424">
            <w:pPr>
              <w:ind w:right="-90"/>
              <w:rPr>
                <w:rFonts w:ascii="Kalinga" w:hAnsi="Kalinga" w:cs="Kalinga"/>
                <w:sz w:val="24"/>
                <w:szCs w:val="24"/>
                <w:lang w:eastAsia="zh-CN"/>
              </w:rPr>
            </w:pPr>
            <w:r>
              <w:rPr>
                <w:rFonts w:ascii="Kalinga" w:hAnsi="Kalinga" w:cs="Kalinga" w:hint="eastAsia"/>
                <w:sz w:val="24"/>
                <w:szCs w:val="24"/>
                <w:lang w:eastAsia="zh-CN"/>
              </w:rPr>
              <w:t xml:space="preserve">                   </w:t>
            </w:r>
            <w:r w:rsidR="00174921">
              <w:rPr>
                <w:rFonts w:ascii="Kalinga" w:hAnsi="Kalinga" w:cs="Kalinga" w:hint="eastAsia"/>
                <w:sz w:val="24"/>
                <w:szCs w:val="24"/>
                <w:lang w:eastAsia="zh-CN"/>
              </w:rPr>
              <w:t xml:space="preserve">         </w:t>
            </w:r>
            <w:r w:rsidRPr="005C4424">
              <w:rPr>
                <w:rFonts w:ascii="Kalinga" w:hAnsi="Kalinga" w:cs="Kalinga"/>
                <w:sz w:val="24"/>
                <w:szCs w:val="24"/>
              </w:rPr>
              <w:t xml:space="preserve">-- </w:t>
            </w:r>
            <w:r w:rsidRPr="005C4424">
              <w:rPr>
                <w:rFonts w:ascii="Kalinga" w:hAnsi="Kalinga" w:cs="Kalinga"/>
                <w:b/>
                <w:sz w:val="24"/>
                <w:szCs w:val="24"/>
              </w:rPr>
              <w:t>Chang-Lin Tien</w:t>
            </w:r>
            <w:r w:rsidRPr="005C4424">
              <w:rPr>
                <w:rFonts w:ascii="Kalinga" w:hAnsi="Kalinga" w:cs="Kalinga"/>
                <w:sz w:val="24"/>
                <w:szCs w:val="24"/>
              </w:rPr>
              <w:t xml:space="preserve">, </w:t>
            </w:r>
            <w:r w:rsidR="00174921">
              <w:rPr>
                <w:rFonts w:ascii="Kalinga" w:hAnsi="Kalinga" w:cs="Kalinga" w:hint="eastAsia"/>
                <w:sz w:val="24"/>
                <w:szCs w:val="24"/>
                <w:lang w:eastAsia="zh-CN"/>
              </w:rPr>
              <w:t>加州大学</w:t>
            </w:r>
            <w:r w:rsidR="00174921">
              <w:rPr>
                <w:rFonts w:ascii="Damascus Medium" w:hAnsi="Damascus Medium" w:cs="Damascus Medium" w:hint="eastAsia"/>
                <w:sz w:val="24"/>
                <w:szCs w:val="24"/>
                <w:lang w:eastAsia="zh-CN"/>
              </w:rPr>
              <w:t>伯克利分校前校长</w:t>
            </w:r>
          </w:p>
          <w:p w14:paraId="4D74912A" w14:textId="77777777" w:rsidR="005C4424" w:rsidRPr="00B31FDD" w:rsidRDefault="005C4424" w:rsidP="00174921">
            <w:pPr>
              <w:rPr>
                <w:rFonts w:ascii="Kalinga" w:hAnsi="Kalinga" w:cs="Kalinga"/>
                <w:color w:val="000000" w:themeColor="text1"/>
                <w:sz w:val="20"/>
                <w:szCs w:val="20"/>
              </w:rPr>
            </w:pPr>
            <w:r w:rsidRPr="005C4424">
              <w:rPr>
                <w:rFonts w:ascii="Kalinga" w:hAnsi="Kalinga" w:cs="Kalinga"/>
                <w:sz w:val="24"/>
                <w:szCs w:val="24"/>
              </w:rPr>
              <w:t xml:space="preserve">    </w:t>
            </w:r>
            <w:r>
              <w:rPr>
                <w:rFonts w:ascii="Kalinga" w:hAnsi="Kalinga" w:cs="Kalinga" w:hint="eastAsia"/>
                <w:sz w:val="24"/>
                <w:szCs w:val="24"/>
                <w:lang w:eastAsia="zh-CN"/>
              </w:rPr>
              <w:t xml:space="preserve">                      </w:t>
            </w:r>
            <w:r w:rsidR="00174921">
              <w:rPr>
                <w:rFonts w:ascii="Kalinga" w:hAnsi="Kalinga" w:cs="Kalinga" w:hint="eastAsia"/>
                <w:sz w:val="24"/>
                <w:szCs w:val="24"/>
                <w:lang w:eastAsia="zh-CN"/>
              </w:rPr>
              <w:t xml:space="preserve">      </w:t>
            </w:r>
            <w:r>
              <w:rPr>
                <w:rFonts w:ascii="Kalinga" w:hAnsi="Kalinga" w:cs="Kalinga" w:hint="eastAsia"/>
                <w:sz w:val="24"/>
                <w:szCs w:val="24"/>
                <w:lang w:eastAsia="zh-CN"/>
              </w:rPr>
              <w:t xml:space="preserve"> </w:t>
            </w:r>
            <w:r w:rsidR="00174921">
              <w:rPr>
                <w:rFonts w:ascii="Kalinga" w:hAnsi="Kalinga" w:cs="Kalinga" w:hint="eastAsia"/>
                <w:sz w:val="24"/>
                <w:szCs w:val="24"/>
                <w:lang w:eastAsia="zh-CN"/>
              </w:rPr>
              <w:t xml:space="preserve">   </w:t>
            </w:r>
            <w:r w:rsidR="00174921">
              <w:rPr>
                <w:rFonts w:ascii="Kalinga" w:hAnsi="Kalinga" w:cs="Kalinga" w:hint="eastAsia"/>
                <w:sz w:val="24"/>
                <w:szCs w:val="24"/>
                <w:lang w:eastAsia="zh-CN"/>
              </w:rPr>
              <w:t>第一位</w:t>
            </w:r>
            <w:r w:rsidR="00174921">
              <w:rPr>
                <w:rFonts w:ascii="Damascus Medium" w:hAnsi="Damascus Medium" w:cs="Damascus Medium" w:hint="eastAsia"/>
                <w:sz w:val="24"/>
                <w:szCs w:val="24"/>
                <w:lang w:eastAsia="zh-CN"/>
              </w:rPr>
              <w:t>在美国大学担任校长的亚太裔</w:t>
            </w:r>
          </w:p>
        </w:tc>
      </w:tr>
    </w:tbl>
    <w:p w14:paraId="582CAE35" w14:textId="566C0780" w:rsidR="00E24CC9" w:rsidRDefault="00174921" w:rsidP="00E24CC9">
      <w:pPr>
        <w:ind w:firstLine="480"/>
      </w:pPr>
      <w:r w:rsidRPr="00E24CC9">
        <w:rPr>
          <w:rFonts w:hint="eastAsia"/>
        </w:rPr>
        <w:t>•</w:t>
      </w:r>
      <w:r w:rsidR="00491D27">
        <w:rPr>
          <w:rFonts w:hint="eastAsia"/>
        </w:rPr>
        <w:t>社会科学研究指出，大学</w:t>
      </w:r>
      <w:r w:rsidR="00623328">
        <w:rPr>
          <w:rFonts w:hint="eastAsia"/>
        </w:rPr>
        <w:t>多样性的经历与认知技能</w:t>
      </w:r>
      <w:r w:rsidR="00AE4759">
        <w:rPr>
          <w:rFonts w:hint="eastAsia"/>
        </w:rPr>
        <w:t>的获得是积极相关的</w:t>
      </w:r>
      <w:r>
        <w:rPr>
          <w:rFonts w:hint="eastAsia"/>
        </w:rPr>
        <w:t>。</w:t>
      </w:r>
      <w:r w:rsidR="00491D27">
        <w:rPr>
          <w:rFonts w:hint="eastAsia"/>
        </w:rPr>
        <w:t>与不同背景的学生有更多接触的学生对别人产生偏见的水平也更低。而且跨越种族界限的友谊也让学生对其他群体有更积极的态度。所有这些例子显示出，平权法案能够改善学生教育经验的质量，而且对更大的社会也是有益的。</w:t>
      </w:r>
    </w:p>
    <w:p w14:paraId="452416E6" w14:textId="77777777" w:rsidR="00491D27" w:rsidRDefault="00491D27" w:rsidP="00E24CC9">
      <w:pPr>
        <w:ind w:firstLine="480"/>
      </w:pPr>
      <w:r w:rsidRPr="00E24CC9">
        <w:rPr>
          <w:rFonts w:hint="eastAsia"/>
        </w:rPr>
        <w:t>•</w:t>
      </w:r>
      <w:r>
        <w:rPr>
          <w:rFonts w:hint="eastAsia"/>
        </w:rPr>
        <w:t>研究显示医科学生中</w:t>
      </w:r>
      <w:r w:rsidR="00FB0F36">
        <w:rPr>
          <w:rFonts w:hint="eastAsia"/>
        </w:rPr>
        <w:t>的亚裔美国人和太平洋岛民</w:t>
      </w:r>
      <w:r w:rsidR="00623328">
        <w:rPr>
          <w:rFonts w:hint="eastAsia"/>
        </w:rPr>
        <w:t>高度重视医学教育中的多样性，因为这种多样性帮助他们学到与医师</w:t>
      </w:r>
      <w:r w:rsidR="008C662B">
        <w:rPr>
          <w:rFonts w:hint="eastAsia"/>
        </w:rPr>
        <w:t>成功有关的更好的技能。</w:t>
      </w:r>
    </w:p>
    <w:p w14:paraId="148F41C2" w14:textId="77777777" w:rsidR="008C662B" w:rsidRDefault="008C662B" w:rsidP="00E24CC9">
      <w:pPr>
        <w:ind w:firstLine="480"/>
      </w:pPr>
      <w:r w:rsidRPr="00E24CC9">
        <w:rPr>
          <w:rFonts w:hint="eastAsia"/>
        </w:rPr>
        <w:t>•</w:t>
      </w:r>
      <w:r w:rsidR="00FB0F36">
        <w:rPr>
          <w:rFonts w:hint="eastAsia"/>
        </w:rPr>
        <w:t>与“模范少数族群”神话相反，许多亚裔美国人和太平洋岛民</w:t>
      </w:r>
      <w:r>
        <w:rPr>
          <w:rFonts w:hint="eastAsia"/>
        </w:rPr>
        <w:t>在高等教育领域中</w:t>
      </w:r>
      <w:r w:rsidR="00CC16C4">
        <w:rPr>
          <w:rFonts w:hint="eastAsia"/>
        </w:rPr>
        <w:t>获得机会和成就的比率都很低。比如，在加州大学伯克</w:t>
      </w:r>
      <w:r w:rsidR="00FB0F36">
        <w:rPr>
          <w:rFonts w:hint="eastAsia"/>
        </w:rPr>
        <w:t>利分校的申请人中</w:t>
      </w:r>
      <w:r w:rsidR="00EB70B5">
        <w:rPr>
          <w:rFonts w:hint="eastAsia"/>
        </w:rPr>
        <w:t>太平洋地区的申请人（萨摩亚人、关岛人、汤加人还有夏威夷土著人），东南亚人（老挝人、柬埔寨人、老挝赫蒙族人以及越南人）和菲律宾人</w:t>
      </w:r>
      <w:r w:rsidR="00CC16C4">
        <w:rPr>
          <w:rFonts w:hint="eastAsia"/>
        </w:rPr>
        <w:t>就很少</w:t>
      </w:r>
      <w:r w:rsidR="00EB70B5">
        <w:rPr>
          <w:rFonts w:hint="eastAsia"/>
        </w:rPr>
        <w:t>。</w:t>
      </w:r>
    </w:p>
    <w:p w14:paraId="56DA7EE6" w14:textId="791918F1" w:rsidR="00EB70B5" w:rsidRDefault="00EB70B5" w:rsidP="00E24CC9">
      <w:pPr>
        <w:ind w:firstLine="480"/>
      </w:pPr>
      <w:r w:rsidRPr="00E24CC9">
        <w:rPr>
          <w:rFonts w:hint="eastAsia"/>
        </w:rPr>
        <w:t>•</w:t>
      </w:r>
      <w:r w:rsidR="00AE4759">
        <w:rPr>
          <w:rFonts w:hint="eastAsia"/>
        </w:rPr>
        <w:t>媒体报道能增强</w:t>
      </w:r>
      <w:r>
        <w:rPr>
          <w:rFonts w:hint="eastAsia"/>
        </w:rPr>
        <w:t>加州</w:t>
      </w:r>
      <w:r>
        <w:rPr>
          <w:rFonts w:hint="eastAsia"/>
        </w:rPr>
        <w:t>209</w:t>
      </w:r>
      <w:r w:rsidR="00FB0F36">
        <w:rPr>
          <w:rFonts w:hint="eastAsia"/>
        </w:rPr>
        <w:t>提案对亚裔美国人和太平洋岛民</w:t>
      </w:r>
      <w:r w:rsidR="00623328">
        <w:rPr>
          <w:rFonts w:hint="eastAsia"/>
        </w:rPr>
        <w:t>学生注册</w:t>
      </w:r>
      <w:r>
        <w:rPr>
          <w:rFonts w:hint="eastAsia"/>
        </w:rPr>
        <w:t>人数的影响。</w:t>
      </w:r>
      <w:r w:rsidR="00B90CC7">
        <w:rPr>
          <w:rFonts w:hint="eastAsia"/>
        </w:rPr>
        <w:t>比如，在</w:t>
      </w:r>
      <w:r w:rsidR="00B90CC7">
        <w:rPr>
          <w:rFonts w:hint="eastAsia"/>
        </w:rPr>
        <w:t>209</w:t>
      </w:r>
      <w:r w:rsidR="00FB0F36">
        <w:rPr>
          <w:rFonts w:hint="eastAsia"/>
        </w:rPr>
        <w:t>提案禁止平权行动之前，加州大学伯克利分校大一新生中亚裔美国人和太平洋岛民</w:t>
      </w:r>
      <w:r w:rsidR="00B90CC7">
        <w:rPr>
          <w:rFonts w:hint="eastAsia"/>
        </w:rPr>
        <w:t>学生人数所占的的百分比以非常快的比率保持着上升的趋势。</w:t>
      </w:r>
    </w:p>
    <w:p w14:paraId="19BE37DC" w14:textId="77777777" w:rsidR="00701AAF" w:rsidRDefault="00701AAF" w:rsidP="00E24CC9">
      <w:pPr>
        <w:ind w:firstLine="480"/>
      </w:pPr>
    </w:p>
    <w:p w14:paraId="3171ACB1" w14:textId="77777777" w:rsidR="00701AAF" w:rsidRDefault="00701AAF" w:rsidP="00E24CC9">
      <w:pPr>
        <w:ind w:firstLine="480"/>
      </w:pPr>
    </w:p>
    <w:tbl>
      <w:tblPr>
        <w:tblStyle w:val="TableGrid"/>
        <w:tblW w:w="0" w:type="auto"/>
        <w:tblInd w:w="492" w:type="dxa"/>
        <w:tblLook w:val="04A0" w:firstRow="1" w:lastRow="0" w:firstColumn="1" w:lastColumn="0" w:noHBand="0" w:noVBand="1"/>
      </w:tblPr>
      <w:tblGrid>
        <w:gridCol w:w="5387"/>
      </w:tblGrid>
      <w:tr w:rsidR="00B90CC7" w:rsidRPr="00867B06" w14:paraId="06FEABAC" w14:textId="77777777" w:rsidTr="00701AAF">
        <w:trPr>
          <w:trHeight w:val="856"/>
        </w:trPr>
        <w:tc>
          <w:tcPr>
            <w:tcW w:w="5387" w:type="dxa"/>
            <w:shd w:val="clear" w:color="auto" w:fill="DAEEF3" w:themeFill="accent5" w:themeFillTint="33"/>
          </w:tcPr>
          <w:p w14:paraId="17432C14" w14:textId="77777777" w:rsidR="00B90CC7" w:rsidRPr="00867B06" w:rsidRDefault="00B90CC7" w:rsidP="00B90CC7">
            <w:pPr>
              <w:ind w:left="-90" w:right="-90"/>
              <w:jc w:val="center"/>
              <w:rPr>
                <w:rFonts w:ascii="Kalinga" w:hAnsi="Kalinga" w:cs="Kalinga"/>
                <w:b/>
                <w:i/>
                <w:color w:val="1F497D" w:themeColor="text2"/>
                <w:sz w:val="18"/>
                <w:szCs w:val="18"/>
                <w:lang w:val="en" w:eastAsia="zh-CN"/>
              </w:rPr>
            </w:pPr>
            <w:r>
              <w:rPr>
                <w:rFonts w:ascii="Kalinga" w:hAnsi="Kalinga" w:cs="Kalinga" w:hint="eastAsia"/>
                <w:b/>
                <w:i/>
                <w:sz w:val="18"/>
                <w:szCs w:val="18"/>
                <w:lang w:val="en" w:eastAsia="zh-CN"/>
              </w:rPr>
              <w:lastRenderedPageBreak/>
              <w:t>209</w:t>
            </w:r>
            <w:r>
              <w:rPr>
                <w:rFonts w:ascii="Kalinga" w:hAnsi="Kalinga" w:cs="Kalinga" w:hint="eastAsia"/>
                <w:b/>
                <w:i/>
                <w:sz w:val="18"/>
                <w:szCs w:val="18"/>
                <w:lang w:val="en" w:eastAsia="zh-CN"/>
              </w:rPr>
              <w:t>提案</w:t>
            </w:r>
            <w:r>
              <w:rPr>
                <w:rFonts w:ascii="Damascus Medium" w:hAnsi="Damascus Medium" w:cs="Damascus Medium" w:hint="eastAsia"/>
                <w:b/>
                <w:i/>
                <w:sz w:val="18"/>
                <w:szCs w:val="18"/>
                <w:lang w:val="en" w:eastAsia="zh-CN"/>
              </w:rPr>
              <w:t>之前</w:t>
            </w:r>
            <w:r w:rsidRPr="00867B06">
              <w:rPr>
                <w:rFonts w:ascii="Kalinga" w:hAnsi="Kalinga" w:cs="Kalinga"/>
                <w:b/>
                <w:i/>
                <w:sz w:val="18"/>
                <w:szCs w:val="18"/>
                <w:lang w:val="en"/>
              </w:rPr>
              <w:t xml:space="preserve"> (1988-97)</w:t>
            </w:r>
            <w:r>
              <w:rPr>
                <w:rFonts w:ascii="Kalinga" w:hAnsi="Kalinga" w:cs="Kalinga"/>
                <w:b/>
                <w:i/>
                <w:sz w:val="18"/>
                <w:szCs w:val="18"/>
                <w:lang w:val="en"/>
              </w:rPr>
              <w:t xml:space="preserve"> &amp; </w:t>
            </w:r>
            <w:r w:rsidRPr="00867B06">
              <w:rPr>
                <w:rFonts w:ascii="Kalinga" w:hAnsi="Kalinga" w:cs="Kalinga"/>
                <w:b/>
                <w:i/>
                <w:sz w:val="18"/>
                <w:szCs w:val="18"/>
                <w:lang w:val="en"/>
              </w:rPr>
              <w:t>209</w:t>
            </w:r>
            <w:r>
              <w:rPr>
                <w:rFonts w:ascii="Kalinga" w:hAnsi="Kalinga" w:cs="Kalinga" w:hint="eastAsia"/>
                <w:b/>
                <w:i/>
                <w:sz w:val="18"/>
                <w:szCs w:val="18"/>
                <w:lang w:val="en" w:eastAsia="zh-CN"/>
              </w:rPr>
              <w:t>提案</w:t>
            </w:r>
            <w:r>
              <w:rPr>
                <w:rFonts w:ascii="Damascus Medium" w:hAnsi="Damascus Medium" w:cs="Damascus Medium" w:hint="eastAsia"/>
                <w:b/>
                <w:i/>
                <w:sz w:val="18"/>
                <w:szCs w:val="18"/>
                <w:lang w:val="en" w:eastAsia="zh-CN"/>
              </w:rPr>
              <w:t>之后</w:t>
            </w:r>
            <w:r w:rsidRPr="00867B06">
              <w:rPr>
                <w:rFonts w:ascii="Kalinga" w:hAnsi="Kalinga" w:cs="Kalinga"/>
                <w:b/>
                <w:i/>
                <w:sz w:val="18"/>
                <w:szCs w:val="18"/>
                <w:lang w:val="en"/>
              </w:rPr>
              <w:t xml:space="preserve"> (1998-2013): </w:t>
            </w:r>
            <w:r>
              <w:rPr>
                <w:rFonts w:ascii="Kalinga" w:hAnsi="Kalinga" w:cs="Kalinga" w:hint="eastAsia"/>
                <w:b/>
                <w:i/>
                <w:sz w:val="18"/>
                <w:szCs w:val="18"/>
                <w:lang w:val="en" w:eastAsia="zh-CN"/>
              </w:rPr>
              <w:t>加州大学</w:t>
            </w:r>
            <w:r w:rsidR="00FB0F36">
              <w:rPr>
                <w:rFonts w:ascii="Damascus Medium" w:hAnsi="Damascus Medium" w:cs="Damascus Medium" w:hint="eastAsia"/>
                <w:b/>
                <w:i/>
                <w:sz w:val="18"/>
                <w:szCs w:val="18"/>
                <w:lang w:val="en" w:eastAsia="zh-CN"/>
              </w:rPr>
              <w:t>伯克利分校国内新生中亚裔美国人和太平洋岛民所占的</w:t>
            </w:r>
            <w:r>
              <w:rPr>
                <w:rFonts w:ascii="Damascus Medium" w:hAnsi="Damascus Medium" w:cs="Damascus Medium" w:hint="eastAsia"/>
                <w:b/>
                <w:i/>
                <w:sz w:val="18"/>
                <w:szCs w:val="18"/>
                <w:lang w:val="en" w:eastAsia="zh-CN"/>
              </w:rPr>
              <w:t>百分比</w:t>
            </w:r>
          </w:p>
        </w:tc>
      </w:tr>
    </w:tbl>
    <w:p w14:paraId="730CA5FF" w14:textId="77777777" w:rsidR="00B90CC7" w:rsidRDefault="00B90CC7" w:rsidP="00E24CC9">
      <w:pPr>
        <w:ind w:firstLine="480"/>
      </w:pPr>
      <w:r>
        <w:rPr>
          <w:noProof/>
          <w:lang w:eastAsia="en-US"/>
        </w:rPr>
        <w:drawing>
          <wp:inline distT="0" distB="0" distL="0" distR="0" wp14:anchorId="458CEBB0" wp14:editId="78388575">
            <wp:extent cx="3368040" cy="2072640"/>
            <wp:effectExtent l="0" t="0" r="22860" b="2286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Start w:id="0" w:name="_GoBack"/>
      <w:bookmarkEnd w:id="0"/>
    </w:p>
    <w:p w14:paraId="47491089" w14:textId="77777777" w:rsidR="00491D27" w:rsidRDefault="00C53C5A" w:rsidP="00623328">
      <w:pPr>
        <w:ind w:firstLine="480"/>
      </w:pPr>
      <w:r w:rsidRPr="00E24CC9">
        <w:rPr>
          <w:rFonts w:hint="eastAsia"/>
        </w:rPr>
        <w:t>•</w:t>
      </w:r>
      <w:r>
        <w:rPr>
          <w:rFonts w:hint="eastAsia"/>
        </w:rPr>
        <w:t>在加州，公共高等教育的投资缩减，</w:t>
      </w:r>
      <w:r w:rsidR="00FB0F36">
        <w:rPr>
          <w:rFonts w:hint="eastAsia"/>
        </w:rPr>
        <w:t>而不是平权法案，正在限制亚裔美国人和太平洋岛民学生</w:t>
      </w:r>
      <w:r w:rsidR="00623328">
        <w:rPr>
          <w:rFonts w:hint="eastAsia"/>
        </w:rPr>
        <w:t>的机会。我们应该重新集中精力并在</w:t>
      </w:r>
      <w:r>
        <w:rPr>
          <w:rFonts w:hint="eastAsia"/>
        </w:rPr>
        <w:t>扩大公立大学</w:t>
      </w:r>
      <w:r w:rsidR="00623328">
        <w:rPr>
          <w:rFonts w:hint="eastAsia"/>
        </w:rPr>
        <w:t>招生能力上做出明智的投资，这样青年</w:t>
      </w:r>
      <w:r>
        <w:rPr>
          <w:rFonts w:hint="eastAsia"/>
        </w:rPr>
        <w:t>人，包括亚太裔在内，就能够拥有一种光明的教育和经济前景。</w:t>
      </w:r>
    </w:p>
    <w:p w14:paraId="590C3CFF" w14:textId="77777777" w:rsidR="007E2FDB" w:rsidRDefault="007E2FDB"/>
    <w:sectPr w:rsidR="007E2FDB" w:rsidSect="00C81EB3">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Heiti SC Light">
    <w:altName w:val="Arial Unicode MS"/>
    <w:charset w:val="50"/>
    <w:family w:val="auto"/>
    <w:pitch w:val="variable"/>
    <w:sig w:usb0="00000000" w:usb1="080E004A" w:usb2="00000010" w:usb3="00000000" w:csb0="00040000" w:csb1="00000000"/>
  </w:font>
  <w:font w:name="Helvetica">
    <w:panose1 w:val="020B0604020202020204"/>
    <w:charset w:val="00"/>
    <w:family w:val="swiss"/>
    <w:pitch w:val="variable"/>
    <w:sig w:usb0="E0002AFF" w:usb1="C0007843"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Kalinga">
    <w:panose1 w:val="020B0502040204020203"/>
    <w:charset w:val="00"/>
    <w:family w:val="swiss"/>
    <w:pitch w:val="variable"/>
    <w:sig w:usb0="00080003" w:usb1="00000000" w:usb2="00000000" w:usb3="00000000" w:csb0="00000001" w:csb1="00000000"/>
  </w:font>
  <w:font w:name="Damascus Medium">
    <w:charset w:val="00"/>
    <w:family w:val="auto"/>
    <w:pitch w:val="variable"/>
    <w:sig w:usb0="80002003" w:usb1="80000000" w:usb2="00000080" w:usb3="00000000" w:csb0="00000001"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FDB"/>
    <w:rsid w:val="00174921"/>
    <w:rsid w:val="003614FE"/>
    <w:rsid w:val="00491D27"/>
    <w:rsid w:val="005C4424"/>
    <w:rsid w:val="00623328"/>
    <w:rsid w:val="00701AAF"/>
    <w:rsid w:val="0079267F"/>
    <w:rsid w:val="007E2FDB"/>
    <w:rsid w:val="008C662B"/>
    <w:rsid w:val="00AC5DBB"/>
    <w:rsid w:val="00AE4759"/>
    <w:rsid w:val="00B90CC7"/>
    <w:rsid w:val="00C53C5A"/>
    <w:rsid w:val="00C81EB3"/>
    <w:rsid w:val="00CC16C4"/>
    <w:rsid w:val="00E24CC9"/>
    <w:rsid w:val="00EB70B5"/>
    <w:rsid w:val="00FB0F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1D6F7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14FE"/>
    <w:rPr>
      <w:rFonts w:ascii="Heiti SC Light" w:eastAsia="Heiti SC Light"/>
      <w:sz w:val="18"/>
      <w:szCs w:val="18"/>
    </w:rPr>
  </w:style>
  <w:style w:type="character" w:customStyle="1" w:styleId="BalloonTextChar">
    <w:name w:val="Balloon Text Char"/>
    <w:basedOn w:val="DefaultParagraphFont"/>
    <w:link w:val="BalloonText"/>
    <w:uiPriority w:val="99"/>
    <w:semiHidden/>
    <w:rsid w:val="003614FE"/>
    <w:rPr>
      <w:rFonts w:ascii="Heiti SC Light" w:eastAsia="Heiti SC Light"/>
      <w:sz w:val="18"/>
      <w:szCs w:val="18"/>
    </w:rPr>
  </w:style>
  <w:style w:type="table" w:styleId="TableGrid">
    <w:name w:val="Table Grid"/>
    <w:basedOn w:val="TableNormal"/>
    <w:uiPriority w:val="59"/>
    <w:rsid w:val="005C4424"/>
    <w:rPr>
      <w:kern w:val="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74921"/>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14FE"/>
    <w:rPr>
      <w:rFonts w:ascii="Heiti SC Light" w:eastAsia="Heiti SC Light"/>
      <w:sz w:val="18"/>
      <w:szCs w:val="18"/>
    </w:rPr>
  </w:style>
  <w:style w:type="character" w:customStyle="1" w:styleId="BalloonTextChar">
    <w:name w:val="Balloon Text Char"/>
    <w:basedOn w:val="DefaultParagraphFont"/>
    <w:link w:val="BalloonText"/>
    <w:uiPriority w:val="99"/>
    <w:semiHidden/>
    <w:rsid w:val="003614FE"/>
    <w:rPr>
      <w:rFonts w:ascii="Heiti SC Light" w:eastAsia="Heiti SC Light"/>
      <w:sz w:val="18"/>
      <w:szCs w:val="18"/>
    </w:rPr>
  </w:style>
  <w:style w:type="table" w:styleId="TableGrid">
    <w:name w:val="Table Grid"/>
    <w:basedOn w:val="TableNormal"/>
    <w:uiPriority w:val="59"/>
    <w:rsid w:val="005C4424"/>
    <w:rPr>
      <w:kern w:val="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7492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chart" Target="charts/chart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trinity.cevc.ucrad.ucr.edu\wkidder\Documents\Advancing%20Justice%20Diversity%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849518810148703E-2"/>
          <c:y val="5.1400554097404502E-2"/>
          <c:w val="0.87759492563429597"/>
          <c:h val="0.86479148439778397"/>
        </c:manualLayout>
      </c:layout>
      <c:barChart>
        <c:barDir val="col"/>
        <c:grouping val="clustered"/>
        <c:varyColors val="0"/>
        <c:ser>
          <c:idx val="0"/>
          <c:order val="0"/>
          <c:invertIfNegative val="0"/>
          <c:dLbls>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layout>
                <c:manualLayout>
                  <c:x val="4.6296296296296701E-3"/>
                  <c:y val="2.44444423058231E-2"/>
                </c:manualLayout>
              </c:layout>
              <c:showLegendKey val="0"/>
              <c:showVal val="1"/>
              <c:showCatName val="0"/>
              <c:showSerName val="0"/>
              <c:showPercent val="0"/>
              <c:showBubbleSize val="0"/>
            </c:dLbl>
            <c:dLbl>
              <c:idx val="12"/>
              <c:layout>
                <c:manualLayout>
                  <c:x val="0"/>
                  <c:y val="-1.22222211529115E-2"/>
                </c:manualLayout>
              </c:layout>
              <c:showLegendKey val="0"/>
              <c:showVal val="1"/>
              <c:showCatName val="0"/>
              <c:showSerName val="0"/>
              <c:showPercent val="0"/>
              <c:showBubbleSize val="0"/>
            </c:dLbl>
            <c:dLbl>
              <c:idx val="13"/>
              <c:delete val="1"/>
            </c:dLbl>
            <c:dLbl>
              <c:idx val="14"/>
              <c:delete val="1"/>
            </c:dLbl>
            <c:dLbl>
              <c:idx val="15"/>
              <c:delete val="1"/>
            </c:dLbl>
            <c:dLbl>
              <c:idx val="16"/>
              <c:delete val="1"/>
            </c:dLbl>
            <c:dLbl>
              <c:idx val="17"/>
              <c:delete val="1"/>
            </c:dLbl>
            <c:dLbl>
              <c:idx val="18"/>
              <c:delete val="1"/>
            </c:dLbl>
            <c:dLbl>
              <c:idx val="19"/>
              <c:delete val="1"/>
            </c:dLbl>
            <c:dLbl>
              <c:idx val="20"/>
              <c:delete val="1"/>
            </c:dLbl>
            <c:dLbl>
              <c:idx val="21"/>
              <c:delete val="1"/>
            </c:dLbl>
            <c:dLbl>
              <c:idx val="22"/>
              <c:delete val="1"/>
            </c:dLbl>
            <c:dLbl>
              <c:idx val="23"/>
              <c:delete val="1"/>
            </c:dLbl>
            <c:dLbl>
              <c:idx val="24"/>
              <c:delete val="1"/>
            </c:dLbl>
            <c:dLbl>
              <c:idx val="25"/>
              <c:delete val="1"/>
            </c:dLbl>
            <c:numFmt formatCode="0.0%" sourceLinked="0"/>
            <c:txPr>
              <a:bodyPr/>
              <a:lstStyle/>
              <a:p>
                <a:pPr>
                  <a:defRPr sz="900" b="1"/>
                </a:pPr>
                <a:endParaRPr lang="en-US"/>
              </a:p>
            </c:txPr>
            <c:showLegendKey val="0"/>
            <c:showVal val="1"/>
            <c:showCatName val="0"/>
            <c:showSerName val="0"/>
            <c:showPercent val="0"/>
            <c:showBubbleSize val="0"/>
            <c:showLeaderLines val="0"/>
          </c:dLbls>
          <c:val>
            <c:numRef>
              <c:f>Sheet2!$B$6:$AC$6</c:f>
              <c:numCache>
                <c:formatCode>0.00%</c:formatCode>
                <c:ptCount val="28"/>
                <c:pt idx="0">
                  <c:v>0.26</c:v>
                </c:pt>
                <c:pt idx="1">
                  <c:v>0.28199999999999997</c:v>
                </c:pt>
                <c:pt idx="2">
                  <c:v>0.30299999999999999</c:v>
                </c:pt>
                <c:pt idx="3">
                  <c:v>0.35499999999999998</c:v>
                </c:pt>
                <c:pt idx="4">
                  <c:v>0.40300000000000002</c:v>
                </c:pt>
                <c:pt idx="5">
                  <c:v>0.4</c:v>
                </c:pt>
                <c:pt idx="6">
                  <c:v>0.41699999999999998</c:v>
                </c:pt>
                <c:pt idx="7">
                  <c:v>0.38500000000000001</c:v>
                </c:pt>
                <c:pt idx="8">
                  <c:v>0.39600000000000002</c:v>
                </c:pt>
                <c:pt idx="9">
                  <c:v>0.41899999999999998</c:v>
                </c:pt>
                <c:pt idx="12">
                  <c:v>0.42799999999999999</c:v>
                </c:pt>
                <c:pt idx="13">
                  <c:v>0.44900000000000001</c:v>
                </c:pt>
                <c:pt idx="14">
                  <c:v>0.44700000000000001</c:v>
                </c:pt>
                <c:pt idx="15">
                  <c:v>0.44800000000000001</c:v>
                </c:pt>
                <c:pt idx="16">
                  <c:v>0.46</c:v>
                </c:pt>
                <c:pt idx="17">
                  <c:v>0.45</c:v>
                </c:pt>
                <c:pt idx="18">
                  <c:v>0.45100000000000001</c:v>
                </c:pt>
                <c:pt idx="19">
                  <c:v>0.47699999999999998</c:v>
                </c:pt>
                <c:pt idx="20">
                  <c:v>0.47099999999999997</c:v>
                </c:pt>
                <c:pt idx="21">
                  <c:v>0.46700000000000003</c:v>
                </c:pt>
                <c:pt idx="22">
                  <c:v>0.46</c:v>
                </c:pt>
                <c:pt idx="23">
                  <c:v>0.45300000000000001</c:v>
                </c:pt>
                <c:pt idx="24">
                  <c:v>0.47499999999999998</c:v>
                </c:pt>
                <c:pt idx="25">
                  <c:v>0.49399999999999999</c:v>
                </c:pt>
                <c:pt idx="26">
                  <c:v>0.52200000000000002</c:v>
                </c:pt>
                <c:pt idx="27">
                  <c:v>0.48199999999999998</c:v>
                </c:pt>
              </c:numCache>
            </c:numRef>
          </c:val>
        </c:ser>
        <c:dLbls>
          <c:showLegendKey val="0"/>
          <c:showVal val="1"/>
          <c:showCatName val="0"/>
          <c:showSerName val="0"/>
          <c:showPercent val="0"/>
          <c:showBubbleSize val="0"/>
        </c:dLbls>
        <c:gapWidth val="75"/>
        <c:axId val="194669952"/>
        <c:axId val="205078528"/>
      </c:barChart>
      <c:catAx>
        <c:axId val="194669952"/>
        <c:scaling>
          <c:orientation val="minMax"/>
        </c:scaling>
        <c:delete val="1"/>
        <c:axPos val="b"/>
        <c:majorTickMark val="none"/>
        <c:minorTickMark val="none"/>
        <c:tickLblPos val="nextTo"/>
        <c:crossAx val="205078528"/>
        <c:crosses val="autoZero"/>
        <c:auto val="1"/>
        <c:lblAlgn val="ctr"/>
        <c:lblOffset val="100"/>
        <c:noMultiLvlLbl val="0"/>
      </c:catAx>
      <c:valAx>
        <c:axId val="205078528"/>
        <c:scaling>
          <c:orientation val="minMax"/>
          <c:max val="0.5"/>
        </c:scaling>
        <c:delete val="0"/>
        <c:axPos val="l"/>
        <c:numFmt formatCode="0%" sourceLinked="0"/>
        <c:majorTickMark val="none"/>
        <c:minorTickMark val="none"/>
        <c:tickLblPos val="nextTo"/>
        <c:txPr>
          <a:bodyPr/>
          <a:lstStyle/>
          <a:p>
            <a:pPr>
              <a:defRPr sz="900"/>
            </a:pPr>
            <a:endParaRPr lang="en-US"/>
          </a:p>
        </c:txPr>
        <c:crossAx val="194669952"/>
        <c:crosses val="autoZero"/>
        <c:crossBetween val="between"/>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0.13925</cdr:x>
      <cdr:y>0.18958</cdr:y>
    </cdr:from>
    <cdr:to>
      <cdr:x>0.42655</cdr:x>
      <cdr:y>0.46481</cdr:y>
    </cdr:to>
    <cdr:cxnSp macro="">
      <cdr:nvCxnSpPr>
        <cdr:cNvPr id="2" name="Straight Arrow Connector 1"/>
        <cdr:cNvCxnSpPr/>
      </cdr:nvCxnSpPr>
      <cdr:spPr>
        <a:xfrm xmlns:a="http://schemas.openxmlformats.org/drawingml/2006/main" flipV="1">
          <a:off x="381985" y="393172"/>
          <a:ext cx="788122" cy="570802"/>
        </a:xfrm>
        <a:prstGeom xmlns:a="http://schemas.openxmlformats.org/drawingml/2006/main" prst="straightConnector1">
          <a:avLst/>
        </a:prstGeom>
        <a:ln xmlns:a="http://schemas.openxmlformats.org/drawingml/2006/main" w="28575">
          <a:tailEnd type="arrow"/>
        </a:l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dr:relSizeAnchor xmlns:cdr="http://schemas.openxmlformats.org/drawingml/2006/chartDrawing">
    <cdr:from>
      <cdr:x>0.50982</cdr:x>
      <cdr:y>0.08475</cdr:y>
    </cdr:from>
    <cdr:to>
      <cdr:x>0.98546</cdr:x>
      <cdr:y>0.18442</cdr:y>
    </cdr:to>
    <cdr:cxnSp macro="">
      <cdr:nvCxnSpPr>
        <cdr:cNvPr id="4" name="Straight Arrow Connector 3"/>
        <cdr:cNvCxnSpPr/>
      </cdr:nvCxnSpPr>
      <cdr:spPr>
        <a:xfrm xmlns:a="http://schemas.openxmlformats.org/drawingml/2006/main" flipV="1">
          <a:off x="1398546" y="175764"/>
          <a:ext cx="1304776" cy="206707"/>
        </a:xfrm>
        <a:prstGeom xmlns:a="http://schemas.openxmlformats.org/drawingml/2006/main" prst="straightConnector1">
          <a:avLst/>
        </a:prstGeom>
        <a:ln xmlns:a="http://schemas.openxmlformats.org/drawingml/2006/main" w="28575">
          <a:tailEnd type="arrow"/>
        </a:l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ACC14-28EA-456E-95F7-A1E6B1F97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164</Words>
  <Characters>966</Characters>
  <Application>Microsoft Office Word</Application>
  <DocSecurity>4</DocSecurity>
  <Lines>33</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 fan</dc:creator>
  <cp:lastModifiedBy>William Kidder</cp:lastModifiedBy>
  <cp:revision>2</cp:revision>
  <dcterms:created xsi:type="dcterms:W3CDTF">2014-03-11T04:20:00Z</dcterms:created>
  <dcterms:modified xsi:type="dcterms:W3CDTF">2014-03-11T04:20:00Z</dcterms:modified>
</cp:coreProperties>
</file>